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F3" w:rsidRPr="00446FBE" w:rsidRDefault="00F741F3" w:rsidP="00DE22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46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Қысқа мерзімді жоспар</w:t>
      </w:r>
      <w:r w:rsidRPr="004C0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12</w:t>
      </w:r>
    </w:p>
    <w:p w:rsidR="00F741F3" w:rsidRPr="004C04DC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C0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</w:t>
      </w:r>
    </w:p>
    <w:p w:rsidR="00F741F3" w:rsidRDefault="00F741F3" w:rsidP="00F7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2A430A">
        <w:rPr>
          <w:rFonts w:ascii="Times New Roman" w:hAnsi="Times New Roman" w:cs="Times New Roman"/>
          <w:sz w:val="24"/>
          <w:szCs w:val="24"/>
          <w:lang w:val="kk-KZ"/>
        </w:rPr>
        <w:t>Жарықшақты қол гранаталары.</w:t>
      </w:r>
    </w:p>
    <w:p w:rsidR="00F741F3" w:rsidRPr="004C04DC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_______________________</w:t>
      </w:r>
    </w:p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     </w:t>
      </w: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3926"/>
        <w:gridCol w:w="2976"/>
        <w:gridCol w:w="2738"/>
      </w:tblGrid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Бөлім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14" w:type="dxa"/>
            <w:gridSpan w:val="2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</w:t>
            </w:r>
          </w:p>
        </w:tc>
      </w:tr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5714" w:type="dxa"/>
            <w:gridSpan w:val="2"/>
          </w:tcPr>
          <w:p w:rsidR="00F741F3" w:rsidRPr="00143C4B" w:rsidRDefault="00143C4B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Тойғанбеков С.Ж.</w:t>
            </w:r>
          </w:p>
        </w:tc>
      </w:tr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14" w:type="dxa"/>
            <w:gridSpan w:val="2"/>
          </w:tcPr>
          <w:p w:rsidR="00F741F3" w:rsidRPr="00446FBE" w:rsidRDefault="00143C4B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F741F3">
              <w:rPr>
                <w:rFonts w:ascii="Times New Roman" w:hAnsi="Times New Roman"/>
                <w:sz w:val="24"/>
                <w:szCs w:val="24"/>
                <w:lang w:val="kk-KZ"/>
              </w:rPr>
              <w:t>.11.20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</w:tr>
      <w:tr w:rsidR="00F741F3" w:rsidRPr="00446FBE" w:rsidTr="002A5485">
        <w:tc>
          <w:tcPr>
            <w:tcW w:w="3926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proofErr w:type="gramStart"/>
            <w:r w:rsidR="001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а,ә</w:t>
            </w:r>
            <w:proofErr w:type="spellEnd"/>
            <w:proofErr w:type="gramEnd"/>
          </w:p>
        </w:tc>
        <w:tc>
          <w:tcPr>
            <w:tcW w:w="2976" w:type="dxa"/>
            <w:vAlign w:val="center"/>
          </w:tcPr>
          <w:p w:rsidR="00F741F3" w:rsidRPr="00143C4B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саны: </w:t>
            </w:r>
            <w:r w:rsidR="001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43C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38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5714" w:type="dxa"/>
            <w:gridSpan w:val="2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/>
              </w:rPr>
              <w:t>Жарықшақты қол гранаталары.</w:t>
            </w:r>
          </w:p>
        </w:tc>
      </w:tr>
      <w:tr w:rsidR="00F741F3" w:rsidRPr="00446FBE" w:rsidTr="002A5485">
        <w:tc>
          <w:tcPr>
            <w:tcW w:w="3926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5714" w:type="dxa"/>
            <w:gridSpan w:val="2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5714" w:type="dxa"/>
            <w:gridSpan w:val="2"/>
          </w:tcPr>
          <w:p w:rsidR="00F741F3" w:rsidRPr="00446FBE" w:rsidRDefault="00F741F3" w:rsidP="002A54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Жарықшақты қол гранаталарының (РГД-5, РГН, Ф-1, РГО) атқаратын қызметі және ұрыстық қасиеті, гранаталар мен тұтандырғыштың құрылысы, гранатаны лақтырған кездегі бөлшектері мен механизмдерінің жұмысы және гранатаны лақтыруға дайындауды қамтып, үйрету.</w:t>
            </w:r>
          </w:p>
        </w:tc>
      </w:tr>
      <w:tr w:rsidR="00F741F3" w:rsidRPr="00446FBE" w:rsidTr="002A5485">
        <w:tc>
          <w:tcPr>
            <w:tcW w:w="3926" w:type="dxa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</w:tcPr>
          <w:p w:rsidR="00F741F3" w:rsidRPr="00446FBE" w:rsidRDefault="00F741F3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</w:t>
      </w:r>
      <w:proofErr w:type="spellEnd"/>
    </w:p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4318"/>
        <w:gridCol w:w="1417"/>
        <w:gridCol w:w="1106"/>
        <w:gridCol w:w="1261"/>
      </w:tblGrid>
      <w:tr w:rsidR="00F741F3" w:rsidRPr="00446FBE" w:rsidTr="002A5485">
        <w:tc>
          <w:tcPr>
            <w:tcW w:w="1243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4535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418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114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61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F741F3" w:rsidRPr="00DE22A3" w:rsidTr="002A5485">
        <w:tc>
          <w:tcPr>
            <w:tcW w:w="1243" w:type="dxa"/>
            <w:vAlign w:val="center"/>
          </w:tcPr>
          <w:p w:rsidR="00F741F3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F741F3" w:rsidRPr="00272205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535" w:type="dxa"/>
            <w:vAlign w:val="center"/>
          </w:tcPr>
          <w:p w:rsidR="00F741F3" w:rsidRPr="00DF4871" w:rsidRDefault="00F741F3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</w:pPr>
            <w:r w:rsidRPr="00DF4871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>Ұйымдастыру сәті</w:t>
            </w:r>
          </w:p>
          <w:p w:rsidR="00F741F3" w:rsidRPr="00272205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Оқушыларды </w:t>
            </w:r>
            <w:r w:rsidRPr="00740A60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түгендеу, амандасу,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сабақтың тақырыбы мен мақсатымен таныстыру</w:t>
            </w:r>
            <w:r w:rsidRPr="00632D90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:rsidR="00F741F3" w:rsidRPr="00FA45E8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4" w:type="dxa"/>
            <w:vAlign w:val="center"/>
          </w:tcPr>
          <w:p w:rsidR="00F741F3" w:rsidRPr="00FA45E8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1" w:type="dxa"/>
            <w:vAlign w:val="center"/>
          </w:tcPr>
          <w:p w:rsidR="00F741F3" w:rsidRPr="00FA45E8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741F3" w:rsidRPr="00446FBE" w:rsidTr="002A5485">
        <w:tc>
          <w:tcPr>
            <w:tcW w:w="1243" w:type="dxa"/>
            <w:vAlign w:val="center"/>
          </w:tcPr>
          <w:p w:rsidR="00F741F3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F741F3" w:rsidRPr="00272205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20 мин.</w:t>
            </w:r>
          </w:p>
        </w:tc>
        <w:tc>
          <w:tcPr>
            <w:tcW w:w="4535" w:type="dxa"/>
            <w:vAlign w:val="center"/>
          </w:tcPr>
          <w:p w:rsidR="00F741F3" w:rsidRPr="00DC2318" w:rsidRDefault="00F741F3" w:rsidP="002A5485">
            <w:pPr>
              <w:ind w:right="-1" w:firstLine="284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гранаттары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.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РГД-5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гранаты.</w:t>
            </w:r>
          </w:p>
          <w:p w:rsidR="00F741F3" w:rsidRPr="00DC2318" w:rsidRDefault="00F741F3" w:rsidP="002A5485">
            <w:pPr>
              <w:ind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жақын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ұрыстағы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қарсыластың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тірі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жоюға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Қазақстан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армиясының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қарулануында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:</w:t>
            </w:r>
          </w:p>
          <w:p w:rsidR="00F741F3" w:rsidRPr="00DC2318" w:rsidRDefault="00F741F3" w:rsidP="002A5485">
            <w:pP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- 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РГД-5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гранаты;</w:t>
            </w:r>
          </w:p>
          <w:p w:rsidR="00F741F3" w:rsidRPr="00DC2318" w:rsidRDefault="00F741F3" w:rsidP="002A5485">
            <w:pP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- 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РГН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РГО-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гранаты;</w:t>
            </w:r>
          </w:p>
          <w:p w:rsidR="00F741F3" w:rsidRPr="00DC2318" w:rsidRDefault="00F741F3" w:rsidP="002A5485">
            <w:pP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lastRenderedPageBreak/>
              <w:t xml:space="preserve">- 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Ф-1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гранаты бар.</w:t>
            </w:r>
          </w:p>
          <w:p w:rsidR="00F741F3" w:rsidRPr="00DC2318" w:rsidRDefault="00F741F3" w:rsidP="002A5485">
            <w:pP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-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ұшу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қашықтығына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байланысты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: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шабуылдағы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қорғаныстағы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бөлінеді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РГД-5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РГН-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шабуылдағы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Ф-1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РГО -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қорғаныстағы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жатады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left="15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гранаттарының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арналуы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қасиеті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РГД-5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гранаты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арақашықтықта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гранат, </w:t>
            </w:r>
            <w:proofErr w:type="spellStart"/>
            <w:proofErr w:type="gram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шабуылда</w:t>
            </w:r>
            <w:proofErr w:type="spellEnd"/>
            <w:proofErr w:type="gram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қорғаныста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қарсыластың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жоюға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таяу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ретте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қимыл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жасауда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сауытты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транспортерде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ind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радиусы 25 </w:t>
            </w:r>
            <w:proofErr w:type="gram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ге</w:t>
            </w:r>
            <w:proofErr w:type="spellEnd"/>
            <w:proofErr w:type="gram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жуық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лақтырудың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орташа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қашықтығы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40-50м.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Жабдықталған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массасы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310г.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бәсеңдеткішінің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жану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уақыты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3,2 – 4,2с.</w:t>
            </w:r>
          </w:p>
          <w:p w:rsidR="00F741F3" w:rsidRPr="00DC2318" w:rsidRDefault="00F741F3" w:rsidP="002A5485">
            <w:pPr>
              <w:ind w:firstLine="284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Гранаттың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құрылысы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РГД-5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Гранат корпусы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түтікті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жарылуы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жарықшақтар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жасалуына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бөліктен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бөліктен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қалпақша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қабықтан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қалпақшаның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бетінен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манжет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түтікше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Түтікше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герметизациялау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қабықтан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табанның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бетінен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заряд</w:t>
            </w: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толтырады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жарықшақтар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Гранат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тұтандырғышы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заряд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механизмі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жалғастырушы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бағыттаушы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серіппеден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шайбасынан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сақиналы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жинауда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тетігінің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кигізілген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Бағыттаушы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шайба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серіппенің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тіреу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жылжуын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бағыттайды.Ол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бөлігінде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серіппе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қыстыруға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энергияны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хабарлау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кигізілген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бағыттаушы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шайбасына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тіреледі.</w:t>
            </w: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қыстыруға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кигізіледі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серіппенің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тіреу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иінтірек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қайрылған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мұрындықпен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иінтіректің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құлақша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саңылауынан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қабырғаларынан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сақина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детонатордан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ойма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орнатылған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сыртында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капсюль-детонатор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оқсауытын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тесік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бар.Капсюль-оталғыш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детонаторға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сәулесін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престелген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газы аз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құрамнан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Капсюль-детонатор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заряд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жарылуына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сауытта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орналастырылған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әрқашан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бөлшектеп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тексеруге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қатаң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тиым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салынады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F741F3" w:rsidRPr="00DC2318" w:rsidRDefault="00F741F3" w:rsidP="002A5485">
            <w:pPr>
              <w:spacing w:after="12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оның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бөліктерімен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механизмдерінің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жұмысы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оны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сөмкеден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түтіктен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тығынын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бұрап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шығарып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соңына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бұрап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бөлшектері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орналасады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қайырылып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мұрындықпен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жалғасқан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айырымен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ұсталынып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Сақтандырылатын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ұшы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бөлінген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иінтірегін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саусақтармен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корпусына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қыса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жібермей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сақтандырғыш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нысанаға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лақтырамыз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Мұрындықты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алғаннан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бөлшек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өзгермейді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қайырма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механизм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түтігі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жалғастырудан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босатылады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саусақтармен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қыса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ұсталынып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иінтірекпен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ұсталынып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ағытқыш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иінтірек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бөлініп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босатады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серіппе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әсерінен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соққы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От </w:t>
            </w:r>
            <w:proofErr w:type="spellStart"/>
            <w:proofErr w:type="gram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жалыны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капсюль</w:t>
            </w:r>
            <w:proofErr w:type="gram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оталғыштан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баяулатқышты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капсюль-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детонаторға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Капсюль-детонатор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гранаттың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Гранат корпусы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да, корпус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жарықшақтары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шашырайды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Ф-1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гранаты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арақашықтықтық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әрекетті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көбінесе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қорғаныс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шайқасында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тірі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күшті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жоюға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lastRenderedPageBreak/>
              <w:t>түрлі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жағдайлардан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тасадан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сауытты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транспортерден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немесе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танкіден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кезіндегі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ұшу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радиусы – 200м-ге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жуық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лақтырудың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орташа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қашықтығы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35-45м.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Жарақталған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массасы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–600г.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баяулатқышының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жану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уақыты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3,2-4,2 с.</w:t>
            </w:r>
          </w:p>
          <w:p w:rsidR="00F741F3" w:rsidRPr="00DC2318" w:rsidRDefault="00F741F3" w:rsidP="002A5485">
            <w:pPr>
              <w:ind w:right="-1" w:firstLine="284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Гранаттың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құрылысы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.</w:t>
            </w: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Ф-1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гранаты.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Ф-1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корпустан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зарядтан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Гранат корпусы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заряд пен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орналастыруға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сондай-ақ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түзуге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Гранат корпусы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шойын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бойлық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ендік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ойықшалары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бар,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әдетте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осылар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арқылы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бөлшектенеді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Корпустың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жоғары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бөлігінде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бұрап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енгізуге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бұрандалы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ойық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бар.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Сақтағанда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тасығанда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жүргенде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пластмасса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тығын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бұралады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Ф-1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гранатаның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мақсаты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құрылысы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  РГД-5 гранаты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сияқты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қолдану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күту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сақтау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әскери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бөлімдерге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ағаш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жәшіктерге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салынып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жеткізледі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Жәшікке-гранаттар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;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тұтқалар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жеке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металл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қораптарға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салынады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Қораптарды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ашу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үшін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арнайы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пышақ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Жәшіктің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қақпағы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қабырғаларында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таңбалар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: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жәшіктегі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саны,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олардың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массасы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атауы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зауыт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нөмірі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lastRenderedPageBreak/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кезегінің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нөмірі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дайындалған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жылы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көрсетіледі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Жауынгерлер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сөмкеде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тасымалдайды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орналасады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қағазға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немесе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таза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шүберекке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оралуы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тиіс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сөмкеге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алдында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жарақтау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алдында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корпустарында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майысулар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тоттардың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жоқтығын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қарап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алып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жүру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соқтығудан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итерілуден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оттан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балшық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пен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ылғалдан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сақтау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. </w:t>
            </w:r>
          </w:p>
          <w:p w:rsidR="00F741F3" w:rsidRPr="00DC2318" w:rsidRDefault="00F741F3" w:rsidP="002A5485">
            <w:pPr>
              <w:ind w:right="-1" w:firstLine="284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тек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алдында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ғана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жарақтауға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рұқсат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етіледі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left="150" w:right="-1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лақтыруға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үйрену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қауіпсіздік</w:t>
            </w:r>
            <w:proofErr w:type="spellEnd"/>
            <w:proofErr w:type="gram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шаралары</w:t>
            </w:r>
            <w:proofErr w:type="spellEnd"/>
            <w:r w:rsidRPr="00DC23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1.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үйренуші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болат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дулыға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киюі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қажет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2.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оқтау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алдында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тесеру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;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ақаулар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табылған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жағдайда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командирге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баяндау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қажет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3.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қорғаныстағы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танкіге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қарсы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офицер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жетекшілігімен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жарықшақтар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тесіп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өтпейтіндей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тасалардан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немесе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оқпаналардан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жүргізіледі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4.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бір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үйренушімен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бірнеше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кезекті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алдыңғы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жарылысынан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соң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кемінде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5 секунд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өткеннен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кейін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5.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егер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гранат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лақтырылмаған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болса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(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сақтандырғыш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мұрындығы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жұлынбаған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),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онда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оны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командирдің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lastRenderedPageBreak/>
              <w:t>тікелей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бақылауымен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пәрмен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бойынша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оқсыздандыруға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болады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6.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жарылмаған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есебін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жүргізіп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олардың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түскен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орындарын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қызыл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жалаумен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белгілеу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;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аяқталғаннан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соң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жарылмаған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әскердегі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артиллериялық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қару-жарақ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пен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оқ-дәрілерді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сақтау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күтіп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ұстау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жетекшілігінде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көрсетілген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ережелерге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сәйкес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түскен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жерлерінде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жару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қажет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;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жаруды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бөлімше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командирі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ұйымдастырады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7.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гранаттарын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ауданының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радиусы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кемінде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300м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жерді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қоршау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8.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айналыспаған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жеке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құрамды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атыс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шебінен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қауіпсіз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жерге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апару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: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9.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лақтыруға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бастапқы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орынды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–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ақ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жалаулармен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атыс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шебін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қызыл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жалаулармен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белгілеу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;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10.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гранаттар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мен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тұтандырғыштар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беру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пунктін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бастапқы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орнынан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C2318">
                <w:rPr>
                  <w:rFonts w:ascii="Times New Roman" w:eastAsia="Times New Roman" w:hAnsi="Times New Roman"/>
                  <w:sz w:val="24"/>
                  <w:szCs w:val="24"/>
                  <w:lang w:val="ru-MD" w:eastAsia="ru-RU"/>
                </w:rPr>
                <w:t>25 м</w:t>
              </w:r>
            </w:smartTag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қашықтықта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жабдықтау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DC2318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.</w:t>
            </w:r>
          </w:p>
          <w:p w:rsidR="00F741F3" w:rsidRPr="00DC2318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</w:p>
        </w:tc>
        <w:tc>
          <w:tcPr>
            <w:tcW w:w="1418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1F3" w:rsidRPr="00446FBE" w:rsidTr="002A5485">
        <w:tc>
          <w:tcPr>
            <w:tcW w:w="1243" w:type="dxa"/>
            <w:vAlign w:val="center"/>
          </w:tcPr>
          <w:p w:rsidR="00F741F3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535" w:type="dxa"/>
            <w:vAlign w:val="center"/>
          </w:tcPr>
          <w:p w:rsidR="00F741F3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Үй тапсырмасы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бет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t xml:space="preserve">-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гранаттары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неге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арналған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>?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t xml:space="preserve">- </w:t>
            </w:r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ҚР ҚК-де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және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қарулануында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гранаттарының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қандай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түрлері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бар?</w:t>
            </w:r>
          </w:p>
          <w:p w:rsidR="00F741F3" w:rsidRPr="00DC2318" w:rsidRDefault="00F741F3" w:rsidP="002A5485">
            <w:pPr>
              <w:ind w:right="-1"/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t xml:space="preserve">- </w:t>
            </w:r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РГД-5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жарықшақты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қол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гранатының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ұрыстық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қасиеттерін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атап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DC2318">
              <w:rPr>
                <w:rFonts w:ascii="Times New Roman" w:eastAsia="Times New Roman" w:hAnsi="Times New Roman"/>
                <w:lang w:val="ru-MD" w:eastAsia="ru-RU"/>
              </w:rPr>
              <w:t>беріңдер</w:t>
            </w:r>
            <w:proofErr w:type="spellEnd"/>
            <w:r w:rsidRPr="00DC2318">
              <w:rPr>
                <w:rFonts w:ascii="Times New Roman" w:eastAsia="Times New Roman" w:hAnsi="Times New Roman"/>
                <w:lang w:val="ru-MD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:rsidR="00F741F3" w:rsidRPr="00446FBE" w:rsidRDefault="00F741F3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1F3" w:rsidRPr="00446FBE" w:rsidRDefault="00F741F3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Сабақ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жоспарының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аталған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тармақтары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міндетті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болып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табылады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. Педагог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пәннің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ерекшілігі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мен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оқушылардың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қажеттілігіне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қарай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қосымша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элементтер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енгізуге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құқылы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</w:p>
    <w:p w:rsidR="0086137E" w:rsidRPr="002E388F" w:rsidRDefault="0086137E"/>
    <w:sectPr w:rsidR="0086137E" w:rsidRPr="002E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959C9"/>
    <w:multiLevelType w:val="singleLevel"/>
    <w:tmpl w:val="7F7C282E"/>
    <w:lvl w:ilvl="0">
      <w:numFmt w:val="bullet"/>
      <w:lvlText w:val="-"/>
      <w:lvlJc w:val="left"/>
      <w:pPr>
        <w:tabs>
          <w:tab w:val="num" w:pos="555"/>
        </w:tabs>
        <w:ind w:left="555" w:hanging="405"/>
      </w:pPr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13"/>
    <w:rsid w:val="00143C4B"/>
    <w:rsid w:val="002902BA"/>
    <w:rsid w:val="002D3413"/>
    <w:rsid w:val="002E388F"/>
    <w:rsid w:val="00387E5F"/>
    <w:rsid w:val="00657469"/>
    <w:rsid w:val="007F097C"/>
    <w:rsid w:val="00841C19"/>
    <w:rsid w:val="0086137E"/>
    <w:rsid w:val="009E496D"/>
    <w:rsid w:val="00A30D87"/>
    <w:rsid w:val="00C815F2"/>
    <w:rsid w:val="00DE22A3"/>
    <w:rsid w:val="00F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A2C63-6E94-48BF-A3BB-69AF051E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2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1458</Words>
  <Characters>8311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2021-11-22T12:41:00Z</dcterms:created>
  <dcterms:modified xsi:type="dcterms:W3CDTF">2021-11-22T13:16:00Z</dcterms:modified>
</cp:coreProperties>
</file>