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21" w:rsidRPr="00A42121" w:rsidRDefault="00A42121" w:rsidP="00A421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b/>
          <w:sz w:val="28"/>
          <w:szCs w:val="28"/>
          <w:lang w:eastAsia="ru-RU"/>
        </w:rPr>
        <w:t>Фотосинтездің</w:t>
      </w:r>
      <w:proofErr w:type="spellEnd"/>
      <w:r w:rsidRPr="00A421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b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b/>
          <w:sz w:val="28"/>
          <w:szCs w:val="28"/>
          <w:lang w:eastAsia="ru-RU"/>
        </w:rPr>
        <w:t>кезеңі</w:t>
      </w:r>
      <w:proofErr w:type="spellEnd"/>
      <w:r w:rsidRPr="00A4212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Фотосинтездің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кезеңіндегі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энегия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көзі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сәулесі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Фотосинтез –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қараңғы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кезеңдерінен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тұратын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үдеріс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кезеңдерді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жарыққа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тәуелді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тәуелсіз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те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атайды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қараңғы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кезеңінің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реакциялары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болмайды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қараңғы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кезеңдері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хлоропласттарда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жүреді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тилакоидтарда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жүрсе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қараңғы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стромада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Жарыққа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тәуелді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фотосинтетикалық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пигменттер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энергиясын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энергия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түріне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өзгерту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жүретін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үдерістер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Фотожүйелердің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жарықтың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әсерінен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қозуы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Су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фотолизі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тізбегінде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АТФ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түзілуі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121">
        <w:rPr>
          <w:rFonts w:ascii="Times New Roman" w:hAnsi="Times New Roman" w:cs="Times New Roman"/>
          <w:sz w:val="28"/>
          <w:szCs w:val="28"/>
          <w:lang w:eastAsia="ru-RU"/>
        </w:rPr>
        <w:t>НАДФ-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тотықсыздануы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Фотосинтездің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кезеңіндегі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реакция -су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молекуласының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ыдырауы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фотолизі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Оны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теңдеумен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өрнектеуге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2H</w:t>
      </w:r>
      <w:r w:rsidRPr="00A42121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O + </w:t>
      </w:r>
      <w:proofErr w:type="spellStart"/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Q</w:t>
      </w:r>
      <w:r w:rsidRPr="00A42121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 → </w:t>
      </w: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4H</w:t>
      </w:r>
      <w:r w:rsidRPr="00A4212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+ 4e</w:t>
      </w:r>
      <w:r w:rsidRPr="00A42121">
        <w:rPr>
          <w:rFonts w:ascii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-</w:t>
      </w: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+ O</w:t>
      </w:r>
      <w:r w:rsidRPr="00A42121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Су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молекуласының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ыдырауы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жарықтың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әсерінен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тилакоидтардың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мембранасында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орналасатын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хлорофилдің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көмегімен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жүреді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Фотолиз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сутек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протондары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оттегі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бөлінеді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Хлорофилл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молекулалары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кванттарының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әсерінен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қозып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жоғалтады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тилакоид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мембранасының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жағында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жинақталып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теріс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зарядтайды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жоғалтқаннан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хлорофилл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тотықсызданып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тилакоидтың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ішіндегі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судан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Оттегі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фотосинтездің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кезеңінің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өнімі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атмосфераға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бөлінеді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реакцияларға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қатыспайды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Ал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протондар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тилакоидтың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ішіндегі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қорларда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жинақталады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Протондар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тилакоид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мембраналарының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беткі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жағын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люменді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зарядтайды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осылайша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мембрананың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теріс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зарядталған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неде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мембрананың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жағындағы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зарядтардың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айырмасы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жоғарлаған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протондар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тилакоид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мембранасында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АТФ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синтаза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каналдары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бастайды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кезеңінің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өнімдерінің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түзілуі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Хлорофилдің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аз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жарықты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сіңіріп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бөледі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Хлорофилл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молекулалары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реакция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орталықтарында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орналасады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Пигменттің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қалған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жинақтаушы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кешендерде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қызметі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жарықты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сіңіру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энергияны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тилакоидтағы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фотожүйелерден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аралық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тасымалдаушы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нәруыздар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түзілгенше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электрондардың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тасымалдануы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асады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тасымалдау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тізбегі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үдеріс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компоненттер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кіреді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Фотожүйе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І;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Фотожүйе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ІІ;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b6-f</w:t>
      </w:r>
      <w:r w:rsidRPr="00A4212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цитохром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кешендері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тасымалдаушы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нәруыздар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1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НАДФ-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редуктаза</w:t>
      </w:r>
      <w:proofErr w:type="spellEnd"/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Пигмент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жинақтаушы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кешендердің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Фотожүйе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Фотожүйе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ІІ.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Фотожүйе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толқын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ұзындығы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 700 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фотожүйе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ІІ 680 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толқын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ұзындығын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сіңіре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Фотожүйелер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уақытта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Жарықтың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сіңірілуі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әсерінен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фотожүйе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ІІ-де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жоғалған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акцепторларғанемесе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тасымалдаушы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нәруыздарғаөтеді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Электрон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тасымалдаушы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тізбекте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қабылдайтын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тасымалдайтын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тасмалдаушылар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Фотосинтездің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жарыққа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тәуелді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Z-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сызба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көрсетіледі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1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89E681" wp14:editId="4429BC2D">
            <wp:extent cx="6858000" cy="4572000"/>
            <wp:effectExtent l="0" t="0" r="0" b="0"/>
            <wp:docPr id="1" name="Рисунок 1" descr="https://onlinemektep.org/upload/online_mektep/lesson/L_24620/1.png?v1599328262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nlinemektep.org/upload/online_mektep/lesson/L_24620/1.png?v15993282628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Қозған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ФЖ ІІ-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(P680) электрон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тізбегіндегі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тасымалдаушы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нәруыздармен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тасымалданады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тізбек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бойымен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қозғалғанда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H+ 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иондарын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тилакоидтар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люмендеріне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өткізетін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энергияны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жоғалтады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тилакоидтар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люмені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мен строма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протондар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электрохимиялық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градиент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тудырады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АТФ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синтаза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каналы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H+ 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иондары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стромаға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қайтып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Ары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мембраналық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тасымалдаушы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нәруыздар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фотожүйе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І-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тізбектегі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 НАДФ-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редуктазаға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жетеді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жерде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НАДФН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түзіледі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былай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өрнектеледі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42121">
        <w:rPr>
          <w:rFonts w:ascii="Times New Roman" w:hAnsi="Times New Roman" w:cs="Times New Roman"/>
          <w:sz w:val="28"/>
          <w:szCs w:val="28"/>
          <w:lang w:eastAsia="ru-RU"/>
        </w:rPr>
        <w:t>НАДФ</w:t>
      </w:r>
      <w:r w:rsidRPr="00A4212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Pr="00A42121">
        <w:rPr>
          <w:rFonts w:ascii="Times New Roman" w:hAnsi="Times New Roman" w:cs="Times New Roman"/>
          <w:sz w:val="28"/>
          <w:szCs w:val="28"/>
          <w:lang w:eastAsia="ru-RU"/>
        </w:rPr>
        <w:t> + 2e</w:t>
      </w:r>
      <w:r w:rsidRPr="00A4212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-</w:t>
      </w:r>
      <w:r w:rsidRPr="00A42121">
        <w:rPr>
          <w:rFonts w:ascii="Times New Roman" w:hAnsi="Times New Roman" w:cs="Times New Roman"/>
          <w:sz w:val="28"/>
          <w:szCs w:val="28"/>
          <w:lang w:eastAsia="ru-RU"/>
        </w:rPr>
        <w:t> + </w:t>
      </w: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2H</w:t>
      </w:r>
      <w:r w:rsidRPr="00A42121">
        <w:rPr>
          <w:rFonts w:ascii="Times New Roman" w:hAnsi="Times New Roman" w:cs="Times New Roman"/>
          <w:sz w:val="28"/>
          <w:szCs w:val="28"/>
          <w:lang w:eastAsia="ru-RU"/>
        </w:rPr>
        <w:t> → НАДФH + </w:t>
      </w: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H</w:t>
      </w:r>
      <w:r w:rsidRPr="00A4212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+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Яғни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ФЖ І-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дегі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қозған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НАДФ-ты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тотықсыздандырып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НАДФН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түзуге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НАДФН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сутек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көзі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тотықсызданған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кофермент.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қараңғы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реакцияларына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АТФ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НАДФ · </w:t>
      </w: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H</w:t>
      </w:r>
      <w:r w:rsidRPr="00A42121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4212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түзіледі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Фотосинтездің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ATФ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энергиясы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есебінен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синтезделеді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АТФ –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биохимиялық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энергия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көзі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АДФ пен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бейорганикалық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фосфаттың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қосылуы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түзеді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протондардың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АТФ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синтаза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каналынан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өту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түзіледі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Теңдеу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былай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өрнектеледі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Фосфорлану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: AДФ + Ф(б) → ATФ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кері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гидролиз: АТФ + </w:t>
      </w: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H</w:t>
      </w:r>
      <w:r w:rsidRPr="00A42121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O</w:t>
      </w:r>
      <w:r w:rsidRPr="00A42121">
        <w:rPr>
          <w:rFonts w:ascii="Times New Roman" w:hAnsi="Times New Roman" w:cs="Times New Roman"/>
          <w:sz w:val="28"/>
          <w:szCs w:val="28"/>
          <w:lang w:eastAsia="ru-RU"/>
        </w:rPr>
        <w:t> → АДФ + 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Фн</w:t>
      </w:r>
      <w:proofErr w:type="spellEnd"/>
    </w:p>
    <w:p w:rsidR="00A42121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тасымалдау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тізбегінде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b6-f</w:t>
      </w:r>
      <w:r w:rsidRPr="00A4212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цитохромдық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кешенінің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A4212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b6-f</w:t>
      </w:r>
      <w:r w:rsidRPr="00A4212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цитохромдық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кешені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электрондар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протондардың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санын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жарық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кезеңінің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қарқындылығын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A421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43DD" w:rsidRPr="00A42121" w:rsidRDefault="00A42121" w:rsidP="00A4212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42121">
        <w:rPr>
          <w:rFonts w:ascii="Times New Roman" w:hAnsi="Times New Roman" w:cs="Times New Roman"/>
          <w:sz w:val="28"/>
          <w:szCs w:val="28"/>
          <w:lang w:eastAsia="ru-RU"/>
        </w:rPr>
        <w:t>Артқа</w:t>
      </w:r>
      <w:proofErr w:type="spellEnd"/>
    </w:p>
    <w:sectPr w:rsidR="00D943DD" w:rsidRPr="00A4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333F6"/>
    <w:multiLevelType w:val="multilevel"/>
    <w:tmpl w:val="5538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264CA"/>
    <w:multiLevelType w:val="multilevel"/>
    <w:tmpl w:val="E216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21"/>
    <w:rsid w:val="00A42121"/>
    <w:rsid w:val="00D9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959F1-6710-4A24-BFFC-D668C2AE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28784">
              <w:marLeft w:val="0"/>
              <w:marRight w:val="0"/>
              <w:marTop w:val="960"/>
              <w:marBottom w:val="10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224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42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4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7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2338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21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0302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3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511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08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00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1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none" w:sz="0" w:space="2" w:color="auto"/>
                                    <w:bottom w:val="none" w:sz="0" w:space="2" w:color="auto"/>
                                    <w:right w:val="none" w:sz="0" w:space="2" w:color="auto"/>
                                  </w:divBdr>
                                  <w:divsChild>
                                    <w:div w:id="112538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1128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64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241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86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084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520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250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191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77075</dc:creator>
  <cp:keywords/>
  <dc:description/>
  <cp:lastModifiedBy>77075</cp:lastModifiedBy>
  <cp:revision>2</cp:revision>
  <dcterms:created xsi:type="dcterms:W3CDTF">2020-09-21T19:28:00Z</dcterms:created>
  <dcterms:modified xsi:type="dcterms:W3CDTF">2020-09-21T19:29:00Z</dcterms:modified>
</cp:coreProperties>
</file>