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E823B" w14:textId="77777777" w:rsidR="00936C37" w:rsidRPr="00264697" w:rsidRDefault="00BB6402" w:rsidP="00BB6402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b/>
          <w:bCs/>
          <w:caps/>
          <w:color w:val="222222"/>
          <w:sz w:val="32"/>
          <w:szCs w:val="32"/>
          <w:u w:val="single"/>
          <w:lang w:val="kk-KZ" w:eastAsia="ru-RU"/>
        </w:rPr>
      </w:pPr>
      <w:r w:rsidRPr="00264697">
        <w:rPr>
          <w:rFonts w:ascii="Times New Roman" w:eastAsia="Times New Roman" w:hAnsi="Times New Roman" w:cs="Times New Roman"/>
          <w:b/>
          <w:bCs/>
          <w:caps/>
          <w:color w:val="222222"/>
          <w:sz w:val="32"/>
          <w:szCs w:val="32"/>
          <w:u w:val="single"/>
          <w:lang w:eastAsia="ru-RU"/>
        </w:rPr>
        <w:t>СІЗДІҢ ШИНАЛАРЫҢЫЗ ТУРАЛЫ НЕ БІЛМЕЙСІЗ</w:t>
      </w:r>
      <w:r w:rsidRPr="00264697">
        <w:rPr>
          <w:rFonts w:ascii="Times New Roman" w:eastAsia="Times New Roman" w:hAnsi="Times New Roman" w:cs="Times New Roman"/>
          <w:b/>
          <w:bCs/>
          <w:caps/>
          <w:color w:val="222222"/>
          <w:sz w:val="32"/>
          <w:szCs w:val="32"/>
          <w:u w:val="single"/>
          <w:lang w:val="kk-KZ" w:eastAsia="ru-RU"/>
        </w:rPr>
        <w:t>?</w:t>
      </w:r>
    </w:p>
    <w:p w14:paraId="6249CA4C" w14:textId="40E17CE5" w:rsidR="00936C37" w:rsidRPr="004C2B6E" w:rsidRDefault="00BB6402" w:rsidP="004C2B6E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C2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Автокөлік апатқа ұшыраған кезде, полиция бәрінші кезекте көліктің жылдамдығы белгіленген </w:t>
      </w:r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талаптарға сай келетіндігін анықтайды. Көбінесе апаттың себебі темір тұлпардың логикасы болып табылатын автомобильдің жылдамдығы екендігі</w:t>
      </w:r>
      <w:r w:rsidR="00264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көрсетілген, өйткені егер көлік қозғалмаса, ол кедергіге соқтығыспас еді.</w:t>
      </w:r>
      <w:r w:rsidR="00936C37" w:rsidRPr="004C2B6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  <w:drawing>
          <wp:anchor distT="0" distB="0" distL="114300" distR="114300" simplePos="0" relativeHeight="251659264" behindDoc="0" locked="0" layoutInCell="1" allowOverlap="1" wp14:anchorId="15260D37" wp14:editId="36F2B71E">
            <wp:simplePos x="0" y="0"/>
            <wp:positionH relativeFrom="margin">
              <wp:posOffset>195580</wp:posOffset>
            </wp:positionH>
            <wp:positionV relativeFrom="paragraph">
              <wp:posOffset>3810</wp:posOffset>
            </wp:positionV>
            <wp:extent cx="2827020" cy="1597660"/>
            <wp:effectExtent l="0" t="0" r="0" b="2540"/>
            <wp:wrapThrough wrapText="bothSides">
              <wp:wrapPolygon edited="0">
                <wp:start x="0" y="0"/>
                <wp:lineTo x="0" y="21377"/>
                <wp:lineTo x="21396" y="21377"/>
                <wp:lineTo x="21396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59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Бірақ</w:t>
      </w:r>
      <w:r w:rsidR="00264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шындық - көбінесе ақаулар</w:t>
      </w:r>
      <w:r w:rsidR="004C2B6E" w:rsidRPr="004C2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ж</w:t>
      </w:r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үргізуші</w:t>
      </w:r>
      <w:r w:rsidR="004C2B6E" w:rsidRPr="004C2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</w:t>
      </w:r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нің тікелей әрекеттерінде емес,</w:t>
      </w:r>
      <w:r w:rsidR="00936C37" w:rsidRPr="004C2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жылдамдықта емес, машинаның техникалық дайындығында. Көбінесе бұл тежегіштерге, әсіресе шиналарға қатысты</w:t>
      </w:r>
      <w:bookmarkStart w:id="0" w:name="_Hlk54270950"/>
      <w:r w:rsidR="004C2B6E" w:rsidRPr="004C2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,</w:t>
      </w:r>
    </w:p>
    <w:bookmarkEnd w:id="0"/>
    <w:p w14:paraId="63F3C931" w14:textId="785789B7" w:rsidR="00BB6402" w:rsidRPr="00BB6402" w:rsidRDefault="00BB6402" w:rsidP="00BB6402">
      <w:pPr>
        <w:pBdr>
          <w:bottom w:val="single" w:sz="6" w:space="4" w:color="auto"/>
        </w:pBdr>
        <w:shd w:val="clear" w:color="auto" w:fill="FFFFFF"/>
        <w:spacing w:before="300" w:after="150" w:line="32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  <w:lang w:eastAsia="ru-RU"/>
        </w:rPr>
      </w:pPr>
      <w:r w:rsidRPr="00BB64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  <w:lang w:eastAsia="ru-RU"/>
        </w:rPr>
        <w:t>ШИНАЛАРДЫҢ БЕЛГІЛЕНУІ</w:t>
      </w:r>
    </w:p>
    <w:p w14:paraId="62C0E998" w14:textId="65350137" w:rsidR="00BB6402" w:rsidRPr="00BB6402" w:rsidRDefault="004C2B6E" w:rsidP="004C2B6E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640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A06CA19" wp14:editId="6B132887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562225" cy="1785620"/>
            <wp:effectExtent l="0" t="0" r="9525" b="5080"/>
            <wp:wrapThrough wrapText="bothSides">
              <wp:wrapPolygon edited="0">
                <wp:start x="0" y="0"/>
                <wp:lineTo x="0" y="21431"/>
                <wp:lineTo x="21520" y="21431"/>
                <wp:lineTo x="21520" y="0"/>
                <wp:lineTo x="0" y="0"/>
              </wp:wrapPolygon>
            </wp:wrapThrough>
            <wp:docPr id="13" name="Рисунок 13" descr="Дөңгелектеріңіз туралы не білмейсі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өңгелектеріңіз туралы не білмейсі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Екінші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үлкен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әріп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өндірушінің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атауынан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кейін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өлшемдерге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жатады.Біздің</w:t>
      </w:r>
      <w:proofErr w:type="spellEnd"/>
      <w:proofErr w:type="gram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жағдайда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185 -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миллиметрдегі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ен. 65 - профиль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биіктігі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бірақ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миллиметрмен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емес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еніне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пайызбен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Яғни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шинаның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65%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профильге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(65 мм-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185%). Саны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неғұрлым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аз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болса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доңғалақ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соғұрлым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төмен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болады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Төмен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профиль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тұрақтылық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пен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бұрылыстың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динамикасын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қамтамасыз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етеді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бірақ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жүрудің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ыңғайлылығы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аз.R</w:t>
      </w:r>
      <w:proofErr w:type="spellEnd"/>
      <w:proofErr w:type="gram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әрпі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дөңгелектің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радиалды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екенін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білдіреді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қазіргі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кезде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автомобильдерде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басқаларды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табу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қиын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15 - оны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орнатуға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болатын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жиектің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өлшемі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Дюймдегі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өлшем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өлшем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бірлігі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үшін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25,4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миллиметрге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тең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ағылшын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неміс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атауы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36B07FA" w14:textId="05775232" w:rsidR="00BB6402" w:rsidRPr="00BB6402" w:rsidRDefault="00BB6402" w:rsidP="00BB6402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Соңғы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белгі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шинаның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жылдамдығының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индикаторы,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яғни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қандай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максималды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жылдамдықтарға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төтеп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алады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Олар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алфавиттік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тәртіпте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беріледі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ағылшын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P -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жылдамдығы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сағатына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150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шақырым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ал ZR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аяқталатын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жылдамдығы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сағатына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240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шақырымнан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асатын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жоғары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жылдамдықты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дөңгелектер.</w:t>
      </w:r>
      <w:r w:rsidR="004C2B6E" w:rsidRPr="00BB640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8FFC94F" wp14:editId="0B9CB8C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593975" cy="1701165"/>
            <wp:effectExtent l="0" t="0" r="0" b="0"/>
            <wp:wrapTight wrapText="bothSides">
              <wp:wrapPolygon edited="0">
                <wp:start x="0" y="0"/>
                <wp:lineTo x="0" y="21286"/>
                <wp:lineTo x="21415" y="21286"/>
                <wp:lineTo x="21415" y="0"/>
                <wp:lineTo x="0" y="0"/>
              </wp:wrapPolygon>
            </wp:wrapTight>
            <wp:docPr id="14" name="Рисунок 14" descr="Дөңгелектеріңіз туралы не білмейсі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өңгелектеріңіз туралы не білмейсі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41" cy="170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доңғалақ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жылдамдығының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максималды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индикаторы: 130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140 км /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сағ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көтере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алатын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уақытша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қосалқы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шиналарға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арналған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M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N.P-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(150 км /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сағ-қа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қарапайым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автомобиль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доңғалақтары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басталады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әрбір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келесі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әріптер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үшін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жылдамдық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 км / -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артады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h. W, Y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Z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қазірдің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өзінде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суперкарлардың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доңғалақтары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олардың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жылдамдығы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270-ге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300-ге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дейін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немесе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шектеусіз.Дөңгелектерді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таңдаңыз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олардың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жылдамдығы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көлік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құралының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жылдамдығынан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кем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дегенде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сәл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жоғары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болады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Егер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сіз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осы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жылдамдықтан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жылдамырақ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жүрсеңіз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доңғалақ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қатты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қызып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жарылуы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мүмкін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A84E07D" w14:textId="77777777" w:rsidR="004C2B6E" w:rsidRPr="004C2B6E" w:rsidRDefault="004C2B6E" w:rsidP="00BB6402">
      <w:pPr>
        <w:pBdr>
          <w:bottom w:val="single" w:sz="6" w:space="4" w:color="auto"/>
        </w:pBdr>
        <w:shd w:val="clear" w:color="auto" w:fill="FFFFFF"/>
        <w:spacing w:before="300" w:after="150" w:line="320" w:lineRule="atLeast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14:paraId="7C1DD058" w14:textId="60893360" w:rsidR="00BB6402" w:rsidRPr="00BB6402" w:rsidRDefault="00BB6402" w:rsidP="00BB6402">
      <w:pPr>
        <w:pBdr>
          <w:bottom w:val="single" w:sz="6" w:space="4" w:color="auto"/>
        </w:pBdr>
        <w:shd w:val="clear" w:color="auto" w:fill="FFFFFF"/>
        <w:spacing w:before="300" w:after="150" w:line="320" w:lineRule="atLeast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  <w:lang w:eastAsia="ru-RU"/>
        </w:rPr>
      </w:pPr>
      <w:r w:rsidRPr="00BB640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  <w:lang w:eastAsia="ru-RU"/>
        </w:rPr>
        <w:lastRenderedPageBreak/>
        <w:t>ҚОСЫМША АҚПАРАТ</w:t>
      </w:r>
    </w:p>
    <w:p w14:paraId="1ECEA799" w14:textId="079479B8" w:rsidR="00BB6402" w:rsidRPr="00BB6402" w:rsidRDefault="00BB6402" w:rsidP="00BB6402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Қосымша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ақпарат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кіші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әріптермен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цифрлармен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көрсетілген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79005426" w14:textId="2FEB46E4" w:rsidR="00BB6402" w:rsidRPr="00BB6402" w:rsidRDefault="00BB6402" w:rsidP="00BB6402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максималды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рұқсат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етілген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қысым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CA91F28" w14:textId="33629B85" w:rsidR="00BB6402" w:rsidRPr="00BB6402" w:rsidRDefault="00BB6402" w:rsidP="00BB6402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олар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қандай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жүктемеге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төтеп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алады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F1D03FF" w14:textId="3018E365" w:rsidR="00BB6402" w:rsidRPr="00BB6402" w:rsidRDefault="00BB6402" w:rsidP="00BB6402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олар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қай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жерде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шығарылады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72F0589" w14:textId="310E44A8" w:rsidR="00BB6402" w:rsidRPr="00BB6402" w:rsidRDefault="00BB6402" w:rsidP="00BB6402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айналу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бағыты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1F41F94" w14:textId="1739C32B" w:rsidR="00BB6402" w:rsidRPr="00BB6402" w:rsidRDefault="00BB6402" w:rsidP="00BB6402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өндірілген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күні</w:t>
      </w:r>
      <w:proofErr w:type="spellEnd"/>
      <w:r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6F8B455" w14:textId="7B9CA88E" w:rsidR="00BB6402" w:rsidRPr="004C2B6E" w:rsidRDefault="004C2B6E" w:rsidP="002646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640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08F518B" wp14:editId="1B96C13A">
            <wp:simplePos x="0" y="0"/>
            <wp:positionH relativeFrom="page">
              <wp:posOffset>1062990</wp:posOffset>
            </wp:positionH>
            <wp:positionV relativeFrom="paragraph">
              <wp:posOffset>81280</wp:posOffset>
            </wp:positionV>
            <wp:extent cx="2317750" cy="1691640"/>
            <wp:effectExtent l="0" t="0" r="6350" b="3810"/>
            <wp:wrapThrough wrapText="bothSides">
              <wp:wrapPolygon edited="0">
                <wp:start x="0" y="0"/>
                <wp:lineTo x="0" y="21405"/>
                <wp:lineTo x="21482" y="21405"/>
                <wp:lineTo x="21482" y="0"/>
                <wp:lineTo x="0" y="0"/>
              </wp:wrapPolygon>
            </wp:wrapThrough>
            <wp:docPr id="15" name="Рисунок 15" descr="Дөңгелектеріңіз туралы не білмейсі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өңгелектеріңіз туралы не білмейсі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Осы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үш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кодты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іздеңіз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бірінші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екіншісі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оны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шығарған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зауытқа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шинаның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түріне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қатысты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Үшіншісі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жоғарыда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шеңберленген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өндірістің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аптасы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жылын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білдіреді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Біздің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жағдайда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34 17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дегеніміз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34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жылдың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2017-ші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аптасын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білдіреді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яғни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21 мен 27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тамыз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аралығында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64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Шиналар сүт немесе ет емес: конвейерден жаңа шыққандарды іздеудің қажеті жоқ.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Құрғақ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қараңғы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жерде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сақтаған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кезде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олар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бірнеше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бойы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тозбай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оңай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өмір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сүре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алады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Алайда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сарапшылар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бес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астам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уақыт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бұрын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жасалған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дөңгелектерден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аулақ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болуды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ұсынады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Басқа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нәрселермен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қатар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олар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технологиялық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жағынан</w:t>
      </w:r>
      <w:proofErr w:type="spellEnd"/>
      <w:r w:rsidR="00BB6402" w:rsidRPr="00BB64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ескірген.</w:t>
      </w:r>
      <w:r w:rsidR="00BB6402" w:rsidRPr="00BB6402"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24"/>
          <w:szCs w:val="24"/>
          <w:lang w:eastAsia="ru-RU"/>
        </w:rPr>
        <w:t>4.9</w:t>
      </w:r>
      <w:r w:rsidR="00BB6402" w:rsidRPr="00BB6402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  <w:t> </w:t>
      </w:r>
      <w:r w:rsidR="00BB6402" w:rsidRPr="00BB6402"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24"/>
          <w:szCs w:val="24"/>
          <w:lang w:eastAsia="ru-RU"/>
        </w:rPr>
        <w:t>/</w:t>
      </w:r>
      <w:r w:rsidR="00BB6402" w:rsidRPr="00BB6402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  <w:t> </w:t>
      </w:r>
      <w:r w:rsidR="00BB6402" w:rsidRPr="00BB6402"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24"/>
          <w:szCs w:val="24"/>
          <w:lang w:eastAsia="ru-RU"/>
        </w:rPr>
        <w:t>5</w:t>
      </w:r>
      <w:r w:rsidR="00BB6402" w:rsidRPr="00BB6402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  <w:t> </w:t>
      </w:r>
      <w:r w:rsidR="00BB6402" w:rsidRPr="00BB6402"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24"/>
          <w:szCs w:val="24"/>
          <w:lang w:eastAsia="ru-RU"/>
        </w:rPr>
        <w:t>(</w:t>
      </w:r>
      <w:r w:rsidR="00BB6402" w:rsidRPr="00BB6402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  <w:t> </w:t>
      </w:r>
      <w:r w:rsidR="00BB6402" w:rsidRPr="00BB6402"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24"/>
          <w:szCs w:val="24"/>
          <w:lang w:eastAsia="ru-RU"/>
        </w:rPr>
        <w:t>46</w:t>
      </w:r>
      <w:r w:rsidR="00BB6402" w:rsidRPr="00BB6402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  <w:t> </w:t>
      </w:r>
      <w:r w:rsidR="00BB6402" w:rsidRPr="00BB6402"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24"/>
          <w:szCs w:val="24"/>
          <w:lang w:eastAsia="ru-RU"/>
        </w:rPr>
        <w:t>да</w:t>
      </w:r>
    </w:p>
    <w:p w14:paraId="187EE92C" w14:textId="77777777" w:rsidR="00264697" w:rsidRDefault="00264697" w:rsidP="004C2B6E">
      <w:pPr>
        <w:shd w:val="clear" w:color="auto" w:fill="FFFFFF"/>
        <w:spacing w:before="160"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14:paraId="30C5E57F" w14:textId="43FB3DCE" w:rsidR="004C2B6E" w:rsidRPr="00BB6402" w:rsidRDefault="004C2B6E" w:rsidP="004C2B6E">
      <w:pPr>
        <w:shd w:val="clear" w:color="auto" w:fill="FFFFFF"/>
        <w:spacing w:before="160"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4C2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«Академик С.А.Джиенкулов атындағы Байқоңыр колледжі</w:t>
      </w:r>
      <w:r w:rsidRPr="00264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» б</w:t>
      </w:r>
      <w:r w:rsidRPr="004C2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ілім беру мекемесінің  «Арнайы пән» оқытушысы Таласбай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Аслан Таласбайұлы</w:t>
      </w:r>
    </w:p>
    <w:p w14:paraId="5069FAB2" w14:textId="77777777" w:rsidR="00F40B16" w:rsidRPr="00264697" w:rsidRDefault="00F40B16">
      <w:pPr>
        <w:rPr>
          <w:lang w:val="kk-KZ"/>
        </w:rPr>
      </w:pPr>
    </w:p>
    <w:sectPr w:rsidR="00F40B16" w:rsidRPr="0026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409F1"/>
    <w:multiLevelType w:val="multilevel"/>
    <w:tmpl w:val="3588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1D4769"/>
    <w:multiLevelType w:val="multilevel"/>
    <w:tmpl w:val="9BEE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5F"/>
    <w:rsid w:val="00264697"/>
    <w:rsid w:val="004C2B6E"/>
    <w:rsid w:val="00936C37"/>
    <w:rsid w:val="00BB6402"/>
    <w:rsid w:val="00C3405F"/>
    <w:rsid w:val="00F4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4A9E"/>
  <w15:chartTrackingRefBased/>
  <w15:docId w15:val="{DDB6C8E2-1E7C-444B-88EB-C07604AA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Таласбай</dc:creator>
  <cp:keywords/>
  <dc:description/>
  <cp:lastModifiedBy>Аслан Таласбай</cp:lastModifiedBy>
  <cp:revision>3</cp:revision>
  <dcterms:created xsi:type="dcterms:W3CDTF">2020-10-22T09:45:00Z</dcterms:created>
  <dcterms:modified xsi:type="dcterms:W3CDTF">2020-10-22T10:18:00Z</dcterms:modified>
</cp:coreProperties>
</file>