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69" w:rsidRDefault="00EA1F69" w:rsidP="00EA1F6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A1F69">
        <w:rPr>
          <w:rFonts w:ascii="Times New Roman" w:hAnsi="Times New Roman" w:cs="Times New Roman"/>
          <w:b/>
          <w:sz w:val="28"/>
          <w:szCs w:val="28"/>
        </w:rPr>
        <w:t>Тәуекелді</w:t>
      </w:r>
      <w:proofErr w:type="spellEnd"/>
      <w:r w:rsidRPr="00EA1F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1F69"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 w:rsidRPr="00EA1F69">
        <w:rPr>
          <w:rFonts w:ascii="Times New Roman" w:hAnsi="Times New Roman" w:cs="Times New Roman"/>
          <w:b/>
          <w:sz w:val="28"/>
          <w:szCs w:val="28"/>
        </w:rPr>
        <w:t>ғалау</w:t>
      </w:r>
      <w:proofErr w:type="spellEnd"/>
      <w:r w:rsidRPr="00EA1F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F69">
        <w:rPr>
          <w:rFonts w:ascii="Times New Roman" w:hAnsi="Times New Roman" w:cs="Times New Roman"/>
          <w:b/>
          <w:sz w:val="28"/>
          <w:szCs w:val="28"/>
        </w:rPr>
        <w:t>әдістері</w:t>
      </w:r>
      <w:proofErr w:type="spellEnd"/>
      <w:r w:rsidRPr="00EA1F69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EA1F69">
        <w:rPr>
          <w:rFonts w:ascii="Times New Roman" w:hAnsi="Times New Roman" w:cs="Times New Roman"/>
          <w:b/>
          <w:sz w:val="28"/>
          <w:szCs w:val="28"/>
        </w:rPr>
        <w:t>бағдарламалық</w:t>
      </w:r>
      <w:proofErr w:type="spellEnd"/>
      <w:r w:rsidRPr="00EA1F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F69">
        <w:rPr>
          <w:rFonts w:ascii="Times New Roman" w:hAnsi="Times New Roman" w:cs="Times New Roman"/>
          <w:b/>
          <w:sz w:val="28"/>
          <w:szCs w:val="28"/>
        </w:rPr>
        <w:t>жасақтамасы</w:t>
      </w:r>
      <w:proofErr w:type="spellEnd"/>
      <w:r w:rsidRPr="00EA1F69">
        <w:rPr>
          <w:rFonts w:ascii="Times New Roman" w:hAnsi="Times New Roman" w:cs="Times New Roman"/>
          <w:b/>
          <w:sz w:val="28"/>
          <w:szCs w:val="28"/>
        </w:rPr>
        <w:t>.</w:t>
      </w:r>
    </w:p>
    <w:p w:rsidR="00EA1F69" w:rsidRDefault="00EA1F69" w:rsidP="00EA1F6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1F69">
        <w:rPr>
          <w:rFonts w:ascii="Times New Roman" w:hAnsi="Times New Roman" w:cs="Times New Roman"/>
          <w:b/>
          <w:sz w:val="28"/>
          <w:szCs w:val="28"/>
        </w:rPr>
        <w:t xml:space="preserve">CRAMM </w:t>
      </w:r>
      <w:proofErr w:type="spellStart"/>
      <w:r w:rsidRPr="00EA1F69">
        <w:rPr>
          <w:rFonts w:ascii="Times New Roman" w:hAnsi="Times New Roman" w:cs="Times New Roman"/>
          <w:b/>
          <w:sz w:val="28"/>
          <w:szCs w:val="28"/>
        </w:rPr>
        <w:t>техникасы</w:t>
      </w:r>
      <w:proofErr w:type="spellEnd"/>
    </w:p>
    <w:p w:rsidR="00EA1F69" w:rsidRPr="00EA1F69" w:rsidRDefault="00EA1F69" w:rsidP="00EA1F6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ақпараттық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қауіпсіздік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саласындағы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тәуекелдерді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талдаудың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алғашқы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әдістерінің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бірі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ол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80-ші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жылдардың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ортасында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басталды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Орталық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компьютерлік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телекоммуникация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агенттігі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(CCTA)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Ұлыбритания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A1F69" w:rsidRDefault="00EA1F69" w:rsidP="00EA1F6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CRAMM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әдісі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талдаудың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сандық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сапалық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әдістерін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біріктіре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отырып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тәуекелдерді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бағалаудың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кешенді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тәсіліне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негізделген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Әдіс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әмбебап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үлкен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кіші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ұйымдарға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үкіметтік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коммерциялық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секторларға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жарамды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A1F69" w:rsidRPr="00EA1F69" w:rsidRDefault="00EA1F69" w:rsidP="00EA1F6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Әр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түрлі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ұйымдарға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бағытталған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CRAMM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бағдарламалық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жасақтамасының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нұсқалары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бір-бірінен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өздерінің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қорларымен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профильдерімен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ерекшеленеді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Коммерциялық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ұйымдар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коммерциялық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профиль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мемлекеттік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ұйымдар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үкіметтік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профиль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Профильдің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үкіметтік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нұсқасы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американдық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ITSEC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стандартының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талаптарына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сәйкестігін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тексеруге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мүмкіндік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F69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EA1F69">
        <w:rPr>
          <w:rFonts w:ascii="Times New Roman" w:hAnsi="Times New Roman" w:cs="Times New Roman"/>
          <w:sz w:val="28"/>
          <w:szCs w:val="28"/>
          <w:lang w:val="en-US"/>
        </w:rPr>
        <w:t xml:space="preserve"> («Orange Book»).</w:t>
      </w:r>
      <w:proofErr w:type="gramEnd"/>
    </w:p>
    <w:p w:rsidR="000B7E43" w:rsidRPr="000B7E43" w:rsidRDefault="000B7E43" w:rsidP="000B7E4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B7E43">
        <w:rPr>
          <w:rFonts w:ascii="Times New Roman" w:hAnsi="Times New Roman" w:cs="Times New Roman"/>
          <w:sz w:val="28"/>
          <w:szCs w:val="28"/>
          <w:lang w:val="en-US"/>
        </w:rPr>
        <w:t>CRAMM-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дегі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физикалық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ресурстардың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мәні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оларды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жою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кезінде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қалпына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келтіру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шығындарымен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анықталады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B7E43" w:rsidRPr="000B7E43" w:rsidRDefault="000B7E43" w:rsidP="000B7E4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Деректер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бағдарламалық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жасақтаманың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мәні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келесі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жағдайларда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анықталады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B7E43" w:rsidRPr="000B7E43" w:rsidRDefault="000B7E43" w:rsidP="000B7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белгілі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бір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уақыт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кезеңінде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ресурстардың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қол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жетімсіздігі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ресурстарды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жою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соңғы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сақтық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көшірмеден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кейін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алынған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ақпараттың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жоғалуы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оның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жойылуы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персоналдың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бөтен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адамдардың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рұқсат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етілмеген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қол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жеткізуі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жағдайында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құпиялылықты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бұзу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модификация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персоналдың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кішігірім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қателіктері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енгізу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қателіктері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бағдарламалау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қателіктері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қасақана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қателер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жағдайлары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қарастырылады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ақпаратты</w:t>
      </w:r>
      <w:proofErr w:type="spellEnd"/>
      <w:proofErr w:type="gram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беруге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қателіктер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жеткізуден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бас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тарту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ақпаратты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жеткізбеу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дұрыс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емес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мекен-жайға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жеткізу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B7E43" w:rsidRPr="000B7E43" w:rsidRDefault="000B7E43" w:rsidP="000B7E4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Ықтимал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зиянды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CRAMM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келесі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параметрлерді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қолдануды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ұсынады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ұйымның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беделіне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нұқсан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келтіру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қолданыстағы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заңнаманы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бұзу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персоналдың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денсаулығына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зиян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келтіру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</w:rPr>
        <w:t>ашумен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0B7E43">
        <w:rPr>
          <w:rFonts w:ascii="Times New Roman" w:hAnsi="Times New Roman" w:cs="Times New Roman"/>
          <w:sz w:val="28"/>
          <w:szCs w:val="28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lastRenderedPageBreak/>
        <w:t>ақпаратты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ашудан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қаржылық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ресурстарды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қалпына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келтіруге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қаржылық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B7E43" w:rsidRPr="000B7E43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міндеттемелерді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орындай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алмауымен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6387" w:rsidRDefault="000B7E43" w:rsidP="000B7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қызметті</w:t>
      </w:r>
      <w:proofErr w:type="spellEnd"/>
      <w:proofErr w:type="gramEnd"/>
      <w:r w:rsidRPr="000B7E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E43">
        <w:rPr>
          <w:rFonts w:ascii="Times New Roman" w:hAnsi="Times New Roman" w:cs="Times New Roman"/>
          <w:sz w:val="28"/>
          <w:szCs w:val="28"/>
          <w:lang w:val="en-US"/>
        </w:rPr>
        <w:t>ұйымдастыру</w:t>
      </w:r>
      <w:proofErr w:type="spellEnd"/>
      <w:r w:rsidRPr="000B7E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522C" w:rsidRPr="0076522C" w:rsidRDefault="0076522C" w:rsidP="0076522C">
      <w:pPr>
        <w:spacing w:after="0"/>
        <w:ind w:left="360" w:firstLine="34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Мәліметтер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бағдарламалық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жасақтама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берілген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АЖ-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қатысты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критерийлер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таңдалады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ал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зақымдану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шкаласы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1-ден 10-ға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дейін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бағаланады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6522C" w:rsidRPr="0076522C" w:rsidRDefault="0076522C" w:rsidP="0076522C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CRAMM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сипаттамаларында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Ресурстарды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қалпына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келтіруге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қаржылық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критерийіне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осындай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рейтингтік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шкала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мысал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  <w:lang w:val="en-US"/>
        </w:rPr>
        <w:t>келтірілген</w:t>
      </w:r>
      <w:proofErr w:type="spellEnd"/>
      <w:r w:rsidRPr="0076522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6522C" w:rsidRPr="0076522C" w:rsidRDefault="0076522C" w:rsidP="007652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6522C">
        <w:rPr>
          <w:rFonts w:ascii="Times New Roman" w:hAnsi="Times New Roman" w:cs="Times New Roman"/>
          <w:sz w:val="28"/>
          <w:szCs w:val="28"/>
        </w:rPr>
        <w:t>-</w:t>
      </w:r>
      <w:r w:rsidRPr="0076522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- 1000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доллардан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аз;</w:t>
      </w:r>
    </w:p>
    <w:p w:rsidR="0076522C" w:rsidRPr="0076522C" w:rsidRDefault="0076522C" w:rsidP="007652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6522C">
        <w:rPr>
          <w:rFonts w:ascii="Times New Roman" w:hAnsi="Times New Roman" w:cs="Times New Roman"/>
          <w:sz w:val="28"/>
          <w:szCs w:val="28"/>
        </w:rPr>
        <w:t>-</w:t>
      </w:r>
      <w:r w:rsidRPr="0076522C">
        <w:rPr>
          <w:rFonts w:ascii="Times New Roman" w:hAnsi="Times New Roman" w:cs="Times New Roman"/>
          <w:sz w:val="28"/>
          <w:szCs w:val="28"/>
        </w:rPr>
        <w:t xml:space="preserve"> 6 балл - 1000-нан 10000 </w:t>
      </w:r>
      <w:proofErr w:type="spellStart"/>
      <w:proofErr w:type="gramStart"/>
      <w:r w:rsidRPr="0076522C">
        <w:rPr>
          <w:rFonts w:ascii="Times New Roman" w:hAnsi="Times New Roman" w:cs="Times New Roman"/>
          <w:sz w:val="28"/>
          <w:szCs w:val="28"/>
        </w:rPr>
        <w:t>доллар</w:t>
      </w:r>
      <w:proofErr w:type="gramEnd"/>
      <w:r w:rsidRPr="0076522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>;</w:t>
      </w:r>
    </w:p>
    <w:p w:rsidR="0076522C" w:rsidRPr="0076522C" w:rsidRDefault="0076522C" w:rsidP="007652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6522C">
        <w:rPr>
          <w:rFonts w:ascii="Times New Roman" w:hAnsi="Times New Roman" w:cs="Times New Roman"/>
          <w:sz w:val="28"/>
          <w:szCs w:val="28"/>
        </w:rPr>
        <w:t>-</w:t>
      </w:r>
      <w:r w:rsidRPr="0076522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- 10000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доллардан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100000 </w:t>
      </w:r>
      <w:proofErr w:type="spellStart"/>
      <w:proofErr w:type="gramStart"/>
      <w:r w:rsidRPr="0076522C">
        <w:rPr>
          <w:rFonts w:ascii="Times New Roman" w:hAnsi="Times New Roman" w:cs="Times New Roman"/>
          <w:sz w:val="28"/>
          <w:szCs w:val="28"/>
        </w:rPr>
        <w:t>доллар</w:t>
      </w:r>
      <w:proofErr w:type="gramEnd"/>
      <w:r w:rsidRPr="0076522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>;</w:t>
      </w:r>
    </w:p>
    <w:p w:rsidR="0076522C" w:rsidRDefault="0076522C" w:rsidP="0076522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522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- 100 000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доллардан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22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6522C">
        <w:rPr>
          <w:rFonts w:ascii="Times New Roman" w:hAnsi="Times New Roman" w:cs="Times New Roman"/>
          <w:sz w:val="28"/>
          <w:szCs w:val="28"/>
        </w:rPr>
        <w:t>.</w:t>
      </w:r>
    </w:p>
    <w:p w:rsidR="00622205" w:rsidRDefault="00622205" w:rsidP="0076522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22205" w:rsidRDefault="00622205" w:rsidP="0076522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22205" w:rsidRPr="00622205" w:rsidRDefault="00622205" w:rsidP="0062220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OCTAVE </w:t>
      </w:r>
      <w:proofErr w:type="spellStart"/>
      <w:r w:rsidRPr="00622205">
        <w:rPr>
          <w:rFonts w:ascii="Times New Roman" w:hAnsi="Times New Roman" w:cs="Times New Roman"/>
          <w:b/>
          <w:sz w:val="28"/>
          <w:szCs w:val="28"/>
          <w:lang w:val="en-US"/>
        </w:rPr>
        <w:t>техникасы</w:t>
      </w:r>
      <w:proofErr w:type="spellEnd"/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техниканың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ерекшелігі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бүкіл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талдау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процесін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ұйымның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қызметкерлері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сыртқы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консультанттардың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қатысуынсыз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жүзеге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асырады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Ол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техникалық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мамандарды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әртүрлі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деңгейдегі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менеджерлерді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қамтитын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аралас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топ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құрылады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мүмкін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болатын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қауіпсіздік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оқиғалары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қарсы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шараларды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әзірлеу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бизнесі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салдарды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жан-жақты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бағалауға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мүмкіндік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22205" w:rsidRPr="00622205" w:rsidRDefault="00622205" w:rsidP="00622205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OCTAVE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талдаудың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фазасынан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тұрады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205" w:rsidRP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активке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профилін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әзірлеу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инфрақұрылымның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осалдығын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анықтау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22205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22205">
        <w:rPr>
          <w:rFonts w:ascii="Times New Roman" w:hAnsi="Times New Roman" w:cs="Times New Roman"/>
          <w:sz w:val="28"/>
          <w:szCs w:val="28"/>
        </w:rPr>
        <w:t>іпсіздік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стратегиялары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>.</w:t>
      </w:r>
    </w:p>
    <w:p w:rsidR="00622205" w:rsidRPr="00622205" w:rsidRDefault="00622205" w:rsidP="00622205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профилінде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активке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сілтемелер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активке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жеткізу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түрі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көзі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әрекет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етуші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бұзушылық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түрі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мотив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түрткі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нәтиже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нәтиже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сілтемелер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жалпы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каталогтардағы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сипаттамаларына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сілтемелер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OCTAVE-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дегі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түрлері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205" w:rsidRP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деректер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желісі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арқылы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әрекет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зиянкестен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шығатын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қатерлер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қаскүнемнің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физикалық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жетімділікті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қолданатын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қауіптері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жүйенің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істен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шығуына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қауіптер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Default="00622205" w:rsidP="006222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басқалар</w:t>
      </w:r>
      <w:proofErr w:type="spellEnd"/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5677D" w:rsidRDefault="00A5677D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5677D" w:rsidRDefault="00A5677D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5677D" w:rsidRDefault="00A5677D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5677D" w:rsidRPr="00A5677D" w:rsidRDefault="00A5677D" w:rsidP="00A5677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5677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RiskWatch</w:t>
      </w:r>
      <w:proofErr w:type="spellEnd"/>
      <w:r w:rsidRPr="00A567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677D">
        <w:rPr>
          <w:rFonts w:ascii="Times New Roman" w:hAnsi="Times New Roman" w:cs="Times New Roman"/>
          <w:b/>
          <w:sz w:val="28"/>
          <w:szCs w:val="28"/>
          <w:lang w:val="en-US"/>
        </w:rPr>
        <w:t>техникасы</w:t>
      </w:r>
      <w:proofErr w:type="spellEnd"/>
    </w:p>
    <w:p w:rsidR="00A5677D" w:rsidRDefault="00A5677D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22205" w:rsidRPr="00622205" w:rsidRDefault="00622205" w:rsidP="00A5677D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тәуекелдерді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талдаудың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өзіндік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әдістемесін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белгілі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бір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деңгейде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жүзеге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асырылатын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бағдарламалық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жасақтама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құралдарын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жасады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отбасына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қауіпсіздік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аудитінің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түріне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арналған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бағдарламалық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өнімдер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кіреді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for Physical Security - IP-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физикалық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қорғанысын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талдауға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арналған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Ақпараттық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жүйелерге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арналған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ақпараттық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тәуекелдер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Денсаулық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сақтау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саласына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арналған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HIPAA-WATCH -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негізінен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АҚШ-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істейтін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медициналық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мекемелерге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қатысты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АҚШ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медициналық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сақтандыру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портативтілігі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есеп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заңының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(HIPAA)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талаптарына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сәйкестігін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ISO 17799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RW17799 - IP-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ISO 17799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халықаралық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стандартының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талаптарына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сәйкестігін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2205" w:rsidRPr="00622205" w:rsidRDefault="00622205" w:rsidP="00A567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әдісі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тәуекелді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басқарудың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критерийі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ретінде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жыл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сайынғы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шығындарды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күтуді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(ALE)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инвестициялардың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кірістілігін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(ROI)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пайдаланады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қауіпсіздікке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төндіретін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қорғаныс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шығындары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арасындағы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нақты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сандық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бағалауға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бағытталған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өнімі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төрт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кезеңнен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тұратын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тәуекелдерді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талдау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әдістемесіне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негізделген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22205" w:rsidRPr="00622205" w:rsidRDefault="00622205" w:rsidP="00A567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Бірінші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кезең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зерттеу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пәнін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анықтау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ұйымның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типі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зерттелетін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жүйенің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құрамы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жалпы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қауіпсіздік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саласындағы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негізгі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талаптар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сияқты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параметрлерді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сипаттайды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Талдаушының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жұмысын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жеңілдету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ұйымның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типіне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шаблондарда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коммерциялық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ақпараттық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жүйе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мемлекеттік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әскери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ақпараттық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жүйе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т.б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.)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қорғалатын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ресурстар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санаттарының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тізімдері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қауіптер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осалдықтар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қорғау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шаралары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келтірілген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Олардың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ішінен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сізге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ұйымда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барларды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таңдау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керек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22205" w:rsidRPr="00622205" w:rsidRDefault="00622205" w:rsidP="00A567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Мысалы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санаттары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кешіктіру</w:t>
      </w:r>
      <w:proofErr w:type="spellEnd"/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қызмет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көрсетуден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бас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тарту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Ақпаратты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ашу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тікелей</w:t>
      </w:r>
      <w:proofErr w:type="spellEnd"/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шығындар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мысалы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жабдықты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өрттің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бұзуынан</w:t>
      </w:r>
      <w:proofErr w:type="spellEnd"/>
      <w:r w:rsidRPr="00622205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20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6222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20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(персонал,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>.);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20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>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20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205">
        <w:rPr>
          <w:rFonts w:ascii="Times New Roman" w:hAnsi="Times New Roman" w:cs="Times New Roman"/>
          <w:sz w:val="28"/>
          <w:szCs w:val="28"/>
        </w:rPr>
        <w:t>шығындары</w:t>
      </w:r>
      <w:proofErr w:type="spellEnd"/>
      <w:r w:rsidRPr="00622205">
        <w:rPr>
          <w:rFonts w:ascii="Times New Roman" w:hAnsi="Times New Roman" w:cs="Times New Roman"/>
          <w:sz w:val="28"/>
          <w:szCs w:val="28"/>
        </w:rPr>
        <w:t>);</w:t>
      </w:r>
    </w:p>
    <w:p w:rsidR="00622205" w:rsidRPr="00622205" w:rsidRDefault="00622205" w:rsidP="0062220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2205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622205">
        <w:rPr>
          <w:rFonts w:ascii="Times New Roman" w:hAnsi="Times New Roman" w:cs="Times New Roman"/>
          <w:sz w:val="28"/>
          <w:szCs w:val="28"/>
          <w:lang w:val="en-US"/>
        </w:rPr>
        <w:t>бедел</w:t>
      </w:r>
      <w:proofErr w:type="spellEnd"/>
      <w:proofErr w:type="gramEnd"/>
      <w:r w:rsidRPr="006222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22205" w:rsidRPr="0062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D1D"/>
    <w:multiLevelType w:val="hybridMultilevel"/>
    <w:tmpl w:val="CA9EA36C"/>
    <w:lvl w:ilvl="0" w:tplc="C0EE2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C1582"/>
    <w:multiLevelType w:val="hybridMultilevel"/>
    <w:tmpl w:val="6E4A8592"/>
    <w:lvl w:ilvl="0" w:tplc="83525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BB"/>
    <w:rsid w:val="000B7E43"/>
    <w:rsid w:val="004F02BB"/>
    <w:rsid w:val="00622205"/>
    <w:rsid w:val="0076522C"/>
    <w:rsid w:val="008B6387"/>
    <w:rsid w:val="00A5677D"/>
    <w:rsid w:val="00E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F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7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F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2020-10-07T04:14:00Z</dcterms:created>
  <dcterms:modified xsi:type="dcterms:W3CDTF">2020-10-07T05:13:00Z</dcterms:modified>
</cp:coreProperties>
</file>