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263FE3">
        <w:rPr>
          <w:rFonts w:ascii="Times New Roman" w:hAnsi="Times New Roman" w:cs="Times New Roman"/>
          <w:sz w:val="28"/>
          <w:szCs w:val="28"/>
        </w:rPr>
        <w:t xml:space="preserve">Бала тәрбиесі –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ұйымдардағы әдістемелі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 жұмыстың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өзегі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іспе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>Қазіргі жаһандану дәуі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інде қоғамның әлеуметтік-экономикалық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ең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беру жүйесінің алғашқы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сатысы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ұйымдардағы тәрбие мен оқыту ү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ісі. Бұл кезеңде бала тұлғасының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қалыптасып, болашақ өмірге қажетті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іргетасы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қаланады.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ұйымдардағы әдіскер қызметінің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бағыты – тәрбиелік ү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істі ғылыми-әдістемелік тұрғыдан қамтамасыз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>Ғалымдар (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Ж.Пиаже,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Ш.А.Амонашвили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қазақстандық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Қ.Жарықбаев, С.Қалиев және т.б.)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зерттеулерінде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шақтағы тәрбиенің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шешуші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өлін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көрсеткен. Бала осы кезеңде әлеуметтік тәжірибені меңгері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, өз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қиялын,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. Сондықтан әдіскердің кәсіби қызметі тек тәрбиешілердің жұмысын үйлестірумен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шектелмей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педагогикалық процестің ғылыми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ұйымдастырылуын қамтамасыз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бағытталуы </w:t>
      </w:r>
      <w:proofErr w:type="spellStart"/>
      <w:proofErr w:type="gramStart"/>
      <w:r w:rsidRPr="00263FE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>---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ім.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1. Бала тәрбиесінің ғылыми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>Бала тәрбиесі – күрделі, кө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қырлы әлеуметтік- педагогикалық құбылыс.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баланың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физиологиялық даму деңгейіне, психологиялық қажеттіліктеріне сүйене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ұйымдастырылады.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жастағы балалардың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әрекеті –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. Сондықтан әдіскер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арқылы оқыту мен тәрбиелеуді ғылыми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жоспарлап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педагогтарға әдістемелік 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өмек көрсетеді.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Бала тәрбиесінің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бағыттары: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Рухани-адамгершілік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тәрбие.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імділікке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, адалдыққа, сыйластыққа баулу.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Ақыл-ой тәрбиесі. Қоршаған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танып-білуге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қабілетін 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дамыту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ға жағдай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Эстетикалық тәрбие. Әсемдікті қабылдауға, өнер мен табиғатты 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үюге үйрету.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>Еңбек тәрбиесі. Қарапайым тұрмыстық дағдыларды меңгерту, еңбекке құрмет қалыптастыру.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тәрбиесі.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өмі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салтына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баулу.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>Осы бағыттардың ә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қайсысы әдіскердің жылдық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мен әдістемелік нұсқауларында көрініс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табуы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қажет.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>2. Әдіскердің тәрбиелік ү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істі ұйымдастырудағы рөлі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ұйым әдіскері педагогикалық ұжымның жұмысын үйлестіруші ә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і жаңашылдық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енгізуші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. Оның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: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1. Оқу-тәрбие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 стандартқа сәйкестігін қамтамасыз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2. Педагогтардың кәсіби құзыреттілігін арттыруға жағдай жасау.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lastRenderedPageBreak/>
        <w:t>3. Тәрбиелік үдерісті ғылыми-әдістемелік тұрғыдан қамтамасыз ету.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4. Ата-анамен ынтымақтастықты нығайту.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5. Заттық-дамытушы ортаны ұйымдастыруға басшылық жасау.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>Әдіскердің ғылым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әдістемелік жұмысы педагогикалық кеңестер,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семинар-практикумдар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ашық сабақтарды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сияқты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арқылы жүзеге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 Бұ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 шаралардың барлығының түпкі мақсаты – бала тәрбиесінің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арттыру.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>3. Ұлттық құндылық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тәрбие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Қазақ халқы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ежелден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бала тәрбиесіне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мән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тәрбиесі – бүкіл халық тәрбиесі»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ұғым халық педагогикасының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айқындайды. Әдіскер ұлттық құндылықтарды тәрбие мазмұнына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отансүйгі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ікке, үлкенге құрмет,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кішіге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ізет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көрсетуге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баулиды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: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63FE3">
        <w:rPr>
          <w:rFonts w:ascii="Times New Roman" w:hAnsi="Times New Roman" w:cs="Times New Roman"/>
          <w:sz w:val="28"/>
          <w:szCs w:val="28"/>
        </w:rPr>
        <w:t xml:space="preserve">халық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ертегілерін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оқу арқылы – адалдық пен әділдікті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дарыту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мақал-мәтелдерді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арқылы – еңбекқорлық пен 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парасаттылы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ққа тәрбиелеу;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ұлттық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қолдану арқылы –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ептілік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ұйымшылдық және достық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қалыптастыру.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Ата-анамен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жұмыс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көрсеткендей, бала дамуының 70%-ы отбасындағы тәрбиемен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. Осыған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әдіскердің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бағытының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– ата-аналардың педагогикалық мәдениетін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Ынтымақтастық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нысандарда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асады:</w:t>
      </w:r>
      <w:proofErr w:type="spellEnd"/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жиналысы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>кеңес беру орталықтары;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отбасылық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мен көрмелер;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ашық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үндері;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сабақтары.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 іс-шаралардың барлығы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балабақшадағы тәрбие мазмұнымен таныстыруға, үйде жалғастыруға мүмкіндік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>5. Затты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дамытушы ортаның тәрбиелік маңызы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Бала тәрбиесінің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тек педагог пен ата-ананың ықпалына ғана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оны қоршаған ортаға да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 Әдіскер балабақшадағы затты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дамытушы ортаның қауіпсіз, қолжетімді, эстетикалық талаптарға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қадағалайды.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263F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бұрыштары,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әліппелер.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Шығармашылық орта: сурет, мүсіндеу, қолөнерге арналған аймақтар.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Табиғат бұрышы: гүлдер, аквариум, құстар арқылы экологиялық тәрбие беру.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шынықтыру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: спорттық құрал-жабдықтар, қимылды 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ойындар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ға жағдай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ұйымдастырылған орта баланың жан-жақты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ықпал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6. Педагогтардың кәсіби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дамуы</w:t>
      </w:r>
      <w:proofErr w:type="spellEnd"/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Әдіскердің жұмысы тек балаларға ғана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, педагогтарға да бағытталады. Өйткені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тәрбие беру үшін тәрбиешілердің кәсіби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>іктілігі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жоғары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қажет.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Негізгі әдістемелік жұмыс түрлері: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семинар-тренингтер;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әдістемелік кеңестер;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ашық сабақтар мен талдаулар;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озық 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ірибені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Кәсіби даму нәтижесінде тәрбиешілер заманауи педагогикалық технологияларды меңгеріп, оларды бала тәрбиесінде тиімді қолдана алады.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E3">
        <w:rPr>
          <w:rFonts w:ascii="Times New Roman" w:hAnsi="Times New Roman" w:cs="Times New Roman"/>
          <w:sz w:val="28"/>
          <w:szCs w:val="28"/>
        </w:rPr>
        <w:t>Қорытынды.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Қорыта айтқанда, бала тәрбиесі –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ұйымдардағы әдіскер қызметінің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бағыттарының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і қоғам үшін стратегиялық маңызы бар мәселе. Ғылыми тұрғыдан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әдістемелік жұмыс жүйесі: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 баланың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ерекшелігіне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ұлттық құндылықтарды бойына сіңіреді;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  <w:lang w:val="kk-KZ"/>
        </w:rPr>
        <w:t>отбасы мен балабақша арасындағы ынтымақтастықты нығайтады;</w:t>
      </w:r>
    </w:p>
    <w:p w:rsidR="00263FE3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63FE3">
        <w:rPr>
          <w:rFonts w:ascii="Times New Roman" w:hAnsi="Times New Roman" w:cs="Times New Roman"/>
          <w:sz w:val="28"/>
          <w:szCs w:val="28"/>
        </w:rPr>
        <w:t xml:space="preserve">педагогтардың кәсіби құзыреттілігін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.</w:t>
      </w:r>
    </w:p>
    <w:p w:rsidR="001B58C0" w:rsidRPr="00263FE3" w:rsidRDefault="00263FE3" w:rsidP="00263F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, әдіскердің үйлестірушілік және ғылым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әдістемелік қызметі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ұйымдағы тәрбие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қана қоймай, болашақта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сүйетін, отансүйгіш,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парасатты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ұрпақ тәрбиелеуге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. Бала тәрбиесі –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отбасының ғана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>, бүкі</w:t>
      </w:r>
      <w:proofErr w:type="gramStart"/>
      <w:r w:rsidRPr="00263FE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3FE3">
        <w:rPr>
          <w:rFonts w:ascii="Times New Roman" w:hAnsi="Times New Roman" w:cs="Times New Roman"/>
          <w:sz w:val="28"/>
          <w:szCs w:val="28"/>
        </w:rPr>
        <w:t xml:space="preserve"> қоғамның ортақ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E3">
        <w:rPr>
          <w:rFonts w:ascii="Times New Roman" w:hAnsi="Times New Roman" w:cs="Times New Roman"/>
          <w:sz w:val="28"/>
          <w:szCs w:val="28"/>
        </w:rPr>
        <w:t>естен</w:t>
      </w:r>
      <w:proofErr w:type="spellEnd"/>
      <w:r w:rsidRPr="00263FE3">
        <w:rPr>
          <w:rFonts w:ascii="Times New Roman" w:hAnsi="Times New Roman" w:cs="Times New Roman"/>
          <w:sz w:val="28"/>
          <w:szCs w:val="28"/>
        </w:rPr>
        <w:t xml:space="preserve"> шығармау қажет.</w:t>
      </w:r>
    </w:p>
    <w:sectPr w:rsidR="001B58C0" w:rsidRPr="0026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263FE3"/>
    <w:rsid w:val="001B58C0"/>
    <w:rsid w:val="0026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F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829</Words>
  <Characters>4730</Characters>
  <Application>Microsoft Office Word</Application>
  <DocSecurity>0</DocSecurity>
  <Lines>39</Lines>
  <Paragraphs>11</Paragraphs>
  <ScaleCrop>false</ScaleCrop>
  <Company>Grizli777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2025-09-15T05:47:00Z</dcterms:created>
  <dcterms:modified xsi:type="dcterms:W3CDTF">2025-09-15T05:52:00Z</dcterms:modified>
</cp:coreProperties>
</file>