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45" w:rsidRPr="00A64F44" w:rsidRDefault="00475445" w:rsidP="004754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F44">
        <w:rPr>
          <w:rFonts w:ascii="Times New Roman" w:hAnsi="Times New Roman" w:cs="Times New Roman"/>
          <w:sz w:val="28"/>
          <w:szCs w:val="28"/>
          <w:lang w:val="kk-KZ"/>
        </w:rPr>
        <w:t>Білім беру саласы: «Таным»                                                                                                                        Ұйымдастырылған оқу қызметі: Қызықты математика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78"/>
        <w:gridCol w:w="5944"/>
        <w:gridCol w:w="1837"/>
      </w:tblGrid>
      <w:tr w:rsidR="00475445" w:rsidRPr="00A64F44" w:rsidTr="0047514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spacing w:after="2" w:line="237" w:lineRule="auto"/>
              <w:ind w:left="1" w:right="5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ҰОҚ. </w:t>
            </w: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10-ға дейін заттарды санаймыз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75445" w:rsidRPr="00475445" w:rsidTr="0047514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ҰОҚ-ның оқытылу мақсаттары</w:t>
            </w: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10 көлеміндегі сандарды тура жəне кері санау. </w:t>
            </w:r>
          </w:p>
          <w:p w:rsidR="00475445" w:rsidRPr="00A64F44" w:rsidRDefault="00475445" w:rsidP="00475145">
            <w:pPr>
              <w:spacing w:line="237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саны бойынша салыстырып, олардың реттік нөмірін атау.</w:t>
            </w:r>
          </w:p>
        </w:tc>
      </w:tr>
      <w:tr w:rsidR="00475445" w:rsidRPr="00475445" w:rsidTr="00475145"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4F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Барлық тəрбиеленушілер:</w:t>
            </w:r>
          </w:p>
          <w:p w:rsidR="00475445" w:rsidRPr="00A64F44" w:rsidRDefault="00475445" w:rsidP="0047514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-10 көлеміндегі сандарды тура жəне кері санайды.</w:t>
            </w:r>
          </w:p>
        </w:tc>
      </w:tr>
      <w:tr w:rsidR="00475445" w:rsidRPr="00475445" w:rsidTr="00475145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spacing w:after="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Көпшілік тəрбиеленушілер:                                                                                                            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-заттарды саны бойынша салыстырып, олардың реттік нөмірін атайды.</w:t>
            </w:r>
          </w:p>
        </w:tc>
      </w:tr>
      <w:tr w:rsidR="00475445" w:rsidRPr="00475445" w:rsidTr="00475145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spacing w:after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Кейбір тəрбиеленушілер: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-заттарды саны бойынша салыстырып, ара-арасынан олардың реттік нөмірін атайды.</w:t>
            </w:r>
          </w:p>
        </w:tc>
      </w:tr>
      <w:tr w:rsidR="00475445" w:rsidRPr="00A64F44" w:rsidTr="00475145">
        <w:trPr>
          <w:trHeight w:val="12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</w:t>
            </w:r>
            <w:proofErr w:type="spellEnd"/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Дағдыларын дамыту: </w:t>
            </w:r>
          </w:p>
          <w:p w:rsidR="00475445" w:rsidRPr="00A64F44" w:rsidRDefault="00475445" w:rsidP="00475145">
            <w:pPr>
              <w:spacing w:after="2" w:line="237" w:lineRule="auto"/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-өзінің сұрақтарын қойғанда жəне педагог пен тəрбиеленушілердің сұрақтарына жауап берген кезде сөйлемде лексика мен терминологияны пайдалана алады</w:t>
            </w:r>
            <w:r w:rsidRPr="00A64F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475445" w:rsidRPr="00A64F44" w:rsidRDefault="00475445" w:rsidP="00475145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Пəндік лексика жəне терминология: </w:t>
            </w:r>
          </w:p>
          <w:p w:rsidR="00475445" w:rsidRPr="00A64F44" w:rsidRDefault="00475445" w:rsidP="00475145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бір, екі, …,он. </w:t>
            </w:r>
          </w:p>
          <w:p w:rsidR="00475445" w:rsidRPr="00A64F44" w:rsidRDefault="00475445" w:rsidP="00475145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Пікір алмасуға арналған сұрақтар: </w:t>
            </w:r>
          </w:p>
          <w:p w:rsidR="00475445" w:rsidRPr="00A64F44" w:rsidRDefault="00475445" w:rsidP="00475445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 қалай санау керек екенін түсіндір? </w:t>
            </w:r>
          </w:p>
          <w:p w:rsidR="00475445" w:rsidRPr="00A64F44" w:rsidRDefault="00475445" w:rsidP="00475445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 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қалай санайсың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475445" w:rsidRPr="00A64F44" w:rsidRDefault="00475445" w:rsidP="004754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Санды жазудың қандай тәсілдерін білесіңдер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Жазу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Үзік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бастырып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75445" w:rsidRPr="00475445" w:rsidTr="00475145">
        <w:trPr>
          <w:trHeight w:val="41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Өткен ҰОҚ-дан алған білім</w:t>
            </w: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spacing w:line="261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Заттардың сандық ұғымы туралы түсінік, геометриялық фигуралар мен денелердің атауы. </w:t>
            </w:r>
          </w:p>
        </w:tc>
      </w:tr>
      <w:tr w:rsidR="00475445" w:rsidRPr="00A64F44" w:rsidTr="00475145">
        <w:trPr>
          <w:trHeight w:val="13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Жоспар</w:t>
            </w:r>
            <w:proofErr w:type="spellEnd"/>
          </w:p>
        </w:tc>
      </w:tr>
      <w:tr w:rsidR="00475445" w:rsidRPr="00A64F44" w:rsidTr="00475145">
        <w:trPr>
          <w:trHeight w:val="12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с-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әрекет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475445" w:rsidRPr="00A64F44" w:rsidTr="00475145">
        <w:trPr>
          <w:trHeight w:val="15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І. Басталуы.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0–5 мин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II.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Ортасы 6–15</w:t>
            </w:r>
            <w:r w:rsidRPr="00A6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мин. </w:t>
            </w: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5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right="3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III. Тақырып бойынша жұмыс </w:t>
            </w:r>
          </w:p>
          <w:p w:rsidR="00475445" w:rsidRPr="00A64F44" w:rsidRDefault="00475445" w:rsidP="00475145">
            <w:pPr>
              <w:ind w:right="1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16–25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IV. ҰОҚның</w:t>
            </w: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қорытындысы. </w:t>
            </w:r>
          </w:p>
          <w:p w:rsidR="00475445" w:rsidRPr="00A64F44" w:rsidRDefault="00475445" w:rsidP="0047514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Рефлексия.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16-20 мин.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Ынталандыру.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тартады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475445" w:rsidRPr="00A64F44" w:rsidRDefault="00475445" w:rsidP="00475445">
            <w:pPr>
              <w:numPr>
                <w:ilvl w:val="0"/>
                <w:numId w:val="2"/>
              </w:numPr>
              <w:spacing w:after="0" w:line="240" w:lineRule="auto"/>
              <w:ind w:hanging="1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Сырымның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досы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сендермен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5-ке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үйрендік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75445" w:rsidRPr="00A64F44" w:rsidRDefault="00475445" w:rsidP="00475445">
            <w:pPr>
              <w:numPr>
                <w:ilvl w:val="0"/>
                <w:numId w:val="2"/>
              </w:numPr>
              <w:spacing w:after="0" w:line="240" w:lineRule="auto"/>
              <w:ind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6-дан 10-ға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үйренгілерің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келе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Өзектендіру. </w:t>
            </w:r>
          </w:p>
          <w:p w:rsidR="00475445" w:rsidRPr="00A64F44" w:rsidRDefault="00475445" w:rsidP="00475145">
            <w:pPr>
              <w:spacing w:line="23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полотнода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 1-ден 5-ке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75445" w:rsidRPr="00A64F44" w:rsidRDefault="00475445" w:rsidP="00475145">
            <w:pPr>
              <w:spacing w:line="237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7016D1" wp14:editId="3E282771">
                  <wp:extent cx="1847850" cy="1039377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355" cy="104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5445" w:rsidRPr="00A64F44" w:rsidRDefault="00475445" w:rsidP="00475145">
            <w:pPr>
              <w:spacing w:line="237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7DF9E3" wp14:editId="6CE83927">
                  <wp:extent cx="1666875" cy="9375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72" cy="94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5445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A64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E57625" wp14:editId="34F22F5A">
                  <wp:extent cx="1657350" cy="9322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972" cy="93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 қою (проблемалық жағдай).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Ары қарай педагог 6-дан 10-ға дейінгі топтарды қояды. 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Мына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0F553A" wp14:editId="4945817D">
                  <wp:extent cx="1847850" cy="1039379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495" cy="104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Жаңаны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ашу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(Т) </w:t>
            </w: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тапсырманың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(Ж)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үлестірмелі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5445" w:rsidRPr="00A64F44" w:rsidRDefault="00475445" w:rsidP="00475145">
            <w:pPr>
              <w:spacing w:line="238" w:lineRule="auto"/>
              <w:ind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карточкаларды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іктіріп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атайды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Тура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жəне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санайды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5445" w:rsidRPr="00A64F44" w:rsidRDefault="00475445" w:rsidP="00475145">
            <w:pPr>
              <w:spacing w:line="238" w:lineRule="auto"/>
              <w:ind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857613" wp14:editId="3D0F6C54">
                  <wp:extent cx="2489287" cy="1400175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52" cy="141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5445" w:rsidRPr="00A64F44" w:rsidRDefault="00475445" w:rsidP="00475145">
            <w:pPr>
              <w:spacing w:line="238" w:lineRule="auto"/>
              <w:ind w:righ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Педагог: </w:t>
            </w:r>
          </w:p>
          <w:p w:rsidR="00475445" w:rsidRPr="00A64F44" w:rsidRDefault="00475445" w:rsidP="00475145">
            <w:pPr>
              <w:spacing w:line="238" w:lineRule="auto"/>
              <w:ind w:righ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Əрбі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фишкада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алдыңғысы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аз?–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сұрайды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нүктеге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). Педагог «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алдыңғы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сан»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дауыстап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6-дан 9-ға (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жəне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10-ға)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шеңберлердің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қоюды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475445" w:rsidRPr="00A64F44" w:rsidRDefault="00475445" w:rsidP="00475145">
            <w:pPr>
              <w:spacing w:after="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Сергіту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сə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Əдістемелік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нұсқаудың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қараңыз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Жаңаны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қолдану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64F4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BB998D" wp14:editId="1EFE7132">
                  <wp:extent cx="2819400" cy="158585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318" cy="159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Рефлексия. </w:t>
            </w:r>
          </w:p>
          <w:p w:rsidR="00475445" w:rsidRPr="00A64F44" w:rsidRDefault="00475445" w:rsidP="00475145">
            <w:pPr>
              <w:spacing w:after="4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жасап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мадақтайды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Сабақтағы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Сə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ілік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сатысы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</w:t>
            </w:r>
            <w:proofErr w:type="gram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сатыда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көңілсіз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смайликті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ортаңғы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сатыда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аузы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смайликті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болмаса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жəне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түсінсе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сатыда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күлімдеген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смайликті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Электрондық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полотно.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Үлестірмелі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475445" w:rsidRPr="00A64F44" w:rsidRDefault="00475445" w:rsidP="00475145">
            <w:pPr>
              <w:spacing w:line="23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A6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полотно.  </w:t>
            </w: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445" w:rsidRPr="00A64F44" w:rsidRDefault="00475445" w:rsidP="0047514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left="56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left="56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left="56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ind w:left="56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445" w:rsidRPr="00A64F44" w:rsidRDefault="00475445" w:rsidP="004751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75445" w:rsidRPr="00A64F44" w:rsidRDefault="00475445" w:rsidP="00475445">
      <w:pPr>
        <w:rPr>
          <w:rFonts w:ascii="Times New Roman" w:hAnsi="Times New Roman" w:cs="Times New Roman"/>
          <w:sz w:val="28"/>
          <w:szCs w:val="28"/>
        </w:rPr>
      </w:pPr>
    </w:p>
    <w:p w:rsidR="00636C0B" w:rsidRDefault="00636C0B">
      <w:bookmarkStart w:id="0" w:name="_GoBack"/>
      <w:bookmarkEnd w:id="0"/>
    </w:p>
    <w:sectPr w:rsidR="0063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51B8"/>
    <w:multiLevelType w:val="hybridMultilevel"/>
    <w:tmpl w:val="8EE67606"/>
    <w:lvl w:ilvl="0" w:tplc="35E85A6E">
      <w:start w:val="1"/>
      <w:numFmt w:val="bullet"/>
      <w:lvlText w:val="–"/>
      <w:lvlJc w:val="left"/>
      <w:pPr>
        <w:ind w:left="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A81B5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683A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B2444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4A580C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8C134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0C57F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E34FFC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D8054A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8095E15"/>
    <w:multiLevelType w:val="hybridMultilevel"/>
    <w:tmpl w:val="26923242"/>
    <w:lvl w:ilvl="0" w:tplc="863E8110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E9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0AB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28B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88F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862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17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6ED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9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AE"/>
    <w:rsid w:val="00475445"/>
    <w:rsid w:val="00636C0B"/>
    <w:rsid w:val="00F1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astana.modern</dc:creator>
  <cp:keywords/>
  <dc:description/>
  <cp:lastModifiedBy>astana.modern</cp:lastModifiedBy>
  <cp:revision>2</cp:revision>
  <dcterms:created xsi:type="dcterms:W3CDTF">2021-08-10T05:02:00Z</dcterms:created>
  <dcterms:modified xsi:type="dcterms:W3CDTF">2021-08-10T05:02:00Z</dcterms:modified>
</cp:coreProperties>
</file>